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926E9" w:rsidRDefault="006544C4" w:rsidP="007926E9">
      <w:pPr>
        <w:jc w:val="center"/>
        <w:rPr>
          <w:lang w:val="fr-FR"/>
        </w:rPr>
      </w:pPr>
      <w:bookmarkStart w:id="0" w:name="_GoBack"/>
      <w:bookmarkEnd w:id="0"/>
    </w:p>
    <w:p w:rsidR="0094178F" w:rsidRPr="007926E9" w:rsidRDefault="0094178F" w:rsidP="007926E9">
      <w:pPr>
        <w:jc w:val="center"/>
        <w:rPr>
          <w:sz w:val="4"/>
          <w:szCs w:val="4"/>
          <w:lang w:val="fr-FR"/>
        </w:rPr>
      </w:pPr>
    </w:p>
    <w:p w:rsidR="006544C4" w:rsidRPr="007926E9" w:rsidRDefault="00F557D5" w:rsidP="007926E9">
      <w:pPr>
        <w:pStyle w:val="DecHTitle"/>
        <w:rPr>
          <w:lang w:val="fr-FR"/>
        </w:rPr>
      </w:pPr>
      <w:r w:rsidRPr="007926E9">
        <w:rPr>
          <w:szCs w:val="24"/>
          <w:lang w:val="fr-FR"/>
        </w:rPr>
        <w:t>PREMIÈRE SECTION</w:t>
      </w:r>
    </w:p>
    <w:p w:rsidR="006544C4" w:rsidRPr="007926E9" w:rsidRDefault="006544C4" w:rsidP="007926E9">
      <w:pPr>
        <w:pStyle w:val="DecHTitle"/>
        <w:rPr>
          <w:caps/>
          <w:sz w:val="32"/>
          <w:lang w:val="fr-FR"/>
        </w:rPr>
      </w:pPr>
      <w:r w:rsidRPr="007926E9">
        <w:rPr>
          <w:lang w:val="fr-FR"/>
        </w:rPr>
        <w:t>DÉCISION</w:t>
      </w:r>
    </w:p>
    <w:p w:rsidR="006544C4" w:rsidRPr="007926E9" w:rsidRDefault="00F557D5" w:rsidP="007926E9">
      <w:pPr>
        <w:pStyle w:val="ECHRTitleCentre2"/>
        <w:rPr>
          <w:lang w:val="fr-FR"/>
        </w:rPr>
      </w:pPr>
      <w:r w:rsidRPr="007926E9">
        <w:rPr>
          <w:lang w:val="fr-FR"/>
        </w:rPr>
        <w:t>Requête n</w:t>
      </w:r>
      <w:r w:rsidRPr="007926E9">
        <w:rPr>
          <w:vertAlign w:val="superscript"/>
          <w:lang w:val="fr-FR"/>
        </w:rPr>
        <w:t>o</w:t>
      </w:r>
      <w:r w:rsidR="006544C4" w:rsidRPr="007926E9">
        <w:rPr>
          <w:lang w:val="fr-FR"/>
        </w:rPr>
        <w:t xml:space="preserve"> </w:t>
      </w:r>
      <w:r w:rsidRPr="007926E9">
        <w:rPr>
          <w:lang w:val="fr-FR"/>
        </w:rPr>
        <w:t>29329/07</w:t>
      </w:r>
      <w:r w:rsidR="006544C4" w:rsidRPr="007926E9">
        <w:rPr>
          <w:lang w:val="fr-FR"/>
        </w:rPr>
        <w:br/>
      </w:r>
      <w:r w:rsidRPr="007926E9">
        <w:rPr>
          <w:lang w:val="fr-FR"/>
        </w:rPr>
        <w:t xml:space="preserve">Adriana DE ANTONIIS et autres </w:t>
      </w:r>
      <w:r w:rsidR="006544C4" w:rsidRPr="007926E9">
        <w:rPr>
          <w:lang w:val="fr-FR"/>
        </w:rPr>
        <w:t xml:space="preserve">contre </w:t>
      </w:r>
      <w:r w:rsidRPr="007926E9">
        <w:rPr>
          <w:lang w:val="fr-FR"/>
        </w:rPr>
        <w:t>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Italie</w:t>
      </w:r>
      <w:r w:rsidRPr="007926E9">
        <w:rPr>
          <w:lang w:val="fr-FR"/>
        </w:rPr>
        <w:br/>
        <w:t xml:space="preserve">et 2 autres </w:t>
      </w:r>
      <w:proofErr w:type="gramStart"/>
      <w:r w:rsidRPr="007926E9">
        <w:rPr>
          <w:lang w:val="fr-FR"/>
        </w:rPr>
        <w:t>requêtes</w:t>
      </w:r>
      <w:proofErr w:type="gramEnd"/>
      <w:r w:rsidRPr="007926E9">
        <w:rPr>
          <w:lang w:val="fr-FR"/>
        </w:rPr>
        <w:br/>
        <w:t>(voir liste en annexe)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La Cour européenne des droits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homme (première section), siégeant le 23 mai 2017 en un comité composé de :</w:t>
      </w:r>
    </w:p>
    <w:p w:rsidR="00F557D5" w:rsidRPr="007926E9" w:rsidRDefault="00F557D5" w:rsidP="007926E9">
      <w:pPr>
        <w:pStyle w:val="ECHRPara"/>
        <w:rPr>
          <w:i/>
          <w:lang w:val="fr-FR"/>
        </w:rPr>
      </w:pPr>
      <w:r w:rsidRPr="007926E9">
        <w:rPr>
          <w:lang w:val="fr-FR"/>
        </w:rPr>
        <w:tab/>
        <w:t>Kristina Pardalos,</w:t>
      </w:r>
      <w:r w:rsidRPr="007926E9">
        <w:rPr>
          <w:i/>
          <w:lang w:val="fr-FR"/>
        </w:rPr>
        <w:t xml:space="preserve"> présidente,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ab/>
      </w:r>
      <w:proofErr w:type="spellStart"/>
      <w:r w:rsidRPr="007926E9">
        <w:rPr>
          <w:lang w:val="fr-FR"/>
        </w:rPr>
        <w:t>Ksenija</w:t>
      </w:r>
      <w:proofErr w:type="spellEnd"/>
      <w:r w:rsidRPr="007926E9">
        <w:rPr>
          <w:lang w:val="fr-FR"/>
        </w:rPr>
        <w:t xml:space="preserve"> </w:t>
      </w:r>
      <w:proofErr w:type="spellStart"/>
      <w:r w:rsidRPr="007926E9">
        <w:rPr>
          <w:lang w:val="fr-FR"/>
        </w:rPr>
        <w:t>Turković</w:t>
      </w:r>
      <w:proofErr w:type="spellEnd"/>
      <w:r w:rsidRPr="007926E9">
        <w:rPr>
          <w:lang w:val="fr-FR"/>
        </w:rPr>
        <w:t>,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ab/>
        <w:t xml:space="preserve">Tim </w:t>
      </w:r>
      <w:proofErr w:type="spellStart"/>
      <w:r w:rsidRPr="007926E9">
        <w:rPr>
          <w:lang w:val="fr-FR"/>
        </w:rPr>
        <w:t>Eicke</w:t>
      </w:r>
      <w:proofErr w:type="spellEnd"/>
      <w:r w:rsidRPr="007926E9">
        <w:rPr>
          <w:lang w:val="fr-FR"/>
        </w:rPr>
        <w:t>,</w:t>
      </w:r>
      <w:r w:rsidRPr="007926E9">
        <w:rPr>
          <w:i/>
          <w:lang w:val="fr-FR"/>
        </w:rPr>
        <w:t xml:space="preserve"> juges,</w:t>
      </w:r>
    </w:p>
    <w:p w:rsidR="00F557D5" w:rsidRPr="007926E9" w:rsidRDefault="00F557D5" w:rsidP="007926E9">
      <w:pPr>
        <w:pStyle w:val="ECHRDecisionBody"/>
        <w:rPr>
          <w:lang w:val="fr-FR"/>
        </w:rPr>
      </w:pPr>
      <w:proofErr w:type="gramStart"/>
      <w:r w:rsidRPr="007926E9">
        <w:rPr>
          <w:lang w:val="fr-FR"/>
        </w:rPr>
        <w:t>et</w:t>
      </w:r>
      <w:proofErr w:type="gramEnd"/>
      <w:r w:rsidRPr="007926E9">
        <w:rPr>
          <w:lang w:val="fr-FR"/>
        </w:rPr>
        <w:t xml:space="preserve"> de Renata Degener, </w:t>
      </w:r>
      <w:r w:rsidRPr="007926E9">
        <w:rPr>
          <w:i/>
          <w:lang w:val="fr-FR"/>
        </w:rPr>
        <w:t>Greffière adjointe</w:t>
      </w:r>
      <w:r w:rsidRPr="007926E9">
        <w:rPr>
          <w:i/>
          <w:iCs/>
          <w:lang w:val="fr-FR"/>
        </w:rPr>
        <w:t xml:space="preserve"> d</w:t>
      </w:r>
      <w:r w:rsidRPr="007926E9">
        <w:rPr>
          <w:i/>
          <w:lang w:val="fr-FR"/>
        </w:rPr>
        <w:t>e section,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Vu les requêtes susmentionnées introduites aux dates indiquées dans le tableau joint en annexe,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Après en avoir délibéré, rend la décision suivante :</w:t>
      </w:r>
    </w:p>
    <w:p w:rsidR="00F557D5" w:rsidRPr="007926E9" w:rsidRDefault="00F557D5" w:rsidP="007926E9">
      <w:pPr>
        <w:pStyle w:val="ECHRTitle1"/>
        <w:spacing w:line="360" w:lineRule="auto"/>
        <w:rPr>
          <w:lang w:val="fr-FR"/>
        </w:rPr>
      </w:pPr>
      <w:r w:rsidRPr="007926E9">
        <w:rPr>
          <w:lang w:val="fr-FR"/>
        </w:rPr>
        <w:t>FAITS ET PROCÉDURE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La liste des requérants et de leurs représentants figure en annexe.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Le gouvernement italien (« le Gouvernement ») a été représenté par son agent, M</w:t>
      </w:r>
      <w:r w:rsidRPr="007926E9">
        <w:rPr>
          <w:vertAlign w:val="superscript"/>
          <w:lang w:val="fr-FR"/>
        </w:rPr>
        <w:t xml:space="preserve">me </w:t>
      </w:r>
      <w:r w:rsidRPr="007926E9">
        <w:rPr>
          <w:lang w:val="fr-FR"/>
        </w:rPr>
        <w:t xml:space="preserve">E. Spatafora, et par son </w:t>
      </w:r>
      <w:proofErr w:type="spellStart"/>
      <w:r w:rsidRPr="007926E9">
        <w:rPr>
          <w:lang w:val="fr-FR"/>
        </w:rPr>
        <w:t>coagent</w:t>
      </w:r>
      <w:proofErr w:type="spellEnd"/>
      <w:r w:rsidRPr="007926E9">
        <w:rPr>
          <w:lang w:val="fr-FR"/>
        </w:rPr>
        <w:t>, M</w:t>
      </w:r>
      <w:r w:rsidRPr="007926E9">
        <w:rPr>
          <w:vertAlign w:val="superscript"/>
          <w:lang w:val="fr-FR"/>
        </w:rPr>
        <w:t>me</w:t>
      </w:r>
      <w:r w:rsidRPr="007926E9">
        <w:rPr>
          <w:lang w:val="fr-FR"/>
        </w:rPr>
        <w:t xml:space="preserve"> P. Accardo.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Invoquant plusieurs articles de la Convention et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article 1 du Protocole n</w:t>
      </w:r>
      <w:r w:rsidRPr="007926E9">
        <w:rPr>
          <w:vertAlign w:val="superscript"/>
          <w:lang w:val="fr-FR"/>
        </w:rPr>
        <w:t>o</w:t>
      </w:r>
      <w:r w:rsidRPr="007926E9">
        <w:rPr>
          <w:lang w:val="fr-FR"/>
        </w:rPr>
        <w:t xml:space="preserve"> 1 à la Convention, les requérants se plaignaient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application en cours de procédure des paragraphes 774-776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article 1 de la loi de finances n</w:t>
      </w:r>
      <w:r w:rsidRPr="007926E9">
        <w:rPr>
          <w:vertAlign w:val="superscript"/>
          <w:lang w:val="fr-FR"/>
        </w:rPr>
        <w:t>o</w:t>
      </w:r>
      <w:r w:rsidRPr="007926E9">
        <w:rPr>
          <w:lang w:val="fr-FR"/>
        </w:rPr>
        <w:t> 296 de 2006, qui aurait entraîné une réduction du montant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indemnité intégrative spéciale (</w:t>
      </w:r>
      <w:proofErr w:type="spellStart"/>
      <w:r w:rsidRPr="007926E9">
        <w:rPr>
          <w:i/>
          <w:lang w:val="fr-FR"/>
        </w:rPr>
        <w:t>indennità</w:t>
      </w:r>
      <w:proofErr w:type="spellEnd"/>
      <w:r w:rsidRPr="007926E9">
        <w:rPr>
          <w:i/>
          <w:lang w:val="fr-FR"/>
        </w:rPr>
        <w:t xml:space="preserve"> </w:t>
      </w:r>
      <w:proofErr w:type="spellStart"/>
      <w:r w:rsidRPr="007926E9">
        <w:rPr>
          <w:i/>
          <w:lang w:val="fr-FR"/>
        </w:rPr>
        <w:t>integrativa</w:t>
      </w:r>
      <w:proofErr w:type="spellEnd"/>
      <w:r w:rsidRPr="007926E9">
        <w:rPr>
          <w:i/>
          <w:lang w:val="fr-FR"/>
        </w:rPr>
        <w:t xml:space="preserve"> </w:t>
      </w:r>
      <w:proofErr w:type="spellStart"/>
      <w:r w:rsidRPr="007926E9">
        <w:rPr>
          <w:i/>
          <w:lang w:val="fr-FR"/>
        </w:rPr>
        <w:t>speciale</w:t>
      </w:r>
      <w:proofErr w:type="spellEnd"/>
      <w:r w:rsidRPr="007926E9">
        <w:rPr>
          <w:lang w:val="fr-FR"/>
        </w:rPr>
        <w:t>).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 xml:space="preserve">Les requêtes ont été communiquées au Gouvernement qui a adressé à la Cour des observations au sujet de leur recevabilité et de leur bien-fondé. Ces observations ont été transmises aux requérants qui ont été invités à présenter les leurs. </w:t>
      </w:r>
      <w:r w:rsidRPr="007926E9">
        <w:rPr>
          <w:szCs w:val="24"/>
          <w:lang w:val="fr-FR"/>
        </w:rPr>
        <w:t>Les lettres du greffe à cet égard sont demeurées sans réponse.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lastRenderedPageBreak/>
        <w:t>Par des lettres recommandées avec accusé de réception du 17 octobre 2016, la Cour a attiré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attention des requérants sur le fait que le délai imparti pour la présentation de leurs observations était échu depuis le 19 septembre 2016 et qu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ils n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en avaient pas sollicité la prolongation. Elle a en outre précisé que, aux termes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article 37 § 1 a) de la Convention, elle peut rayer une requête du rôle lorsque, comme en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espèce, les circonstances permettent de conclure que le requérant n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entend plus maintenir celle-ci. Pour ce qui est de la requête n</w:t>
      </w:r>
      <w:r w:rsidRPr="007926E9">
        <w:rPr>
          <w:vertAlign w:val="superscript"/>
          <w:lang w:val="fr-FR"/>
        </w:rPr>
        <w:t>o</w:t>
      </w:r>
      <w:r w:rsidRPr="007926E9">
        <w:rPr>
          <w:lang w:val="fr-FR"/>
        </w:rPr>
        <w:t> 29329/07, la lettre est bien parvenue au représentant des requérants, qui n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y a pas répondu. En ce qui concerne la requête n</w:t>
      </w:r>
      <w:r w:rsidRPr="007926E9">
        <w:rPr>
          <w:vertAlign w:val="superscript"/>
          <w:lang w:val="fr-FR"/>
        </w:rPr>
        <w:t>o</w:t>
      </w:r>
      <w:r w:rsidRPr="007926E9">
        <w:rPr>
          <w:lang w:val="fr-FR"/>
        </w:rPr>
        <w:t> 28805/09 et la requête n</w:t>
      </w:r>
      <w:r w:rsidRPr="007926E9">
        <w:rPr>
          <w:vertAlign w:val="superscript"/>
          <w:lang w:val="fr-FR"/>
        </w:rPr>
        <w:t>o</w:t>
      </w:r>
      <w:r w:rsidRPr="007926E9">
        <w:rPr>
          <w:lang w:val="fr-FR"/>
        </w:rPr>
        <w:t xml:space="preserve"> 80128/12, les lettres ont été retournées au greffe de la Cour respectivement avec la mention « destinataire introuvable » et avec la mention « n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habite plus à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adresse indiquée ».</w:t>
      </w:r>
    </w:p>
    <w:p w:rsidR="00F557D5" w:rsidRPr="007926E9" w:rsidRDefault="00F557D5" w:rsidP="007926E9">
      <w:pPr>
        <w:pStyle w:val="ECHRTitle1"/>
        <w:rPr>
          <w:lang w:val="fr-FR"/>
        </w:rPr>
      </w:pPr>
      <w:r w:rsidRPr="007926E9">
        <w:rPr>
          <w:lang w:val="fr-FR"/>
        </w:rPr>
        <w:t>EN DROIT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Compte tenu de la similitude des requêtes quant aux faits et aux questions de fond qu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elles posent, la Cour décide de les joindre et de les examiner conjointement.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À la lumière de ce qui précède, la Cour conclut que les requérants n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entendent plus maintenir leurs requêtes (article 37 § 1 a) de la Convention). En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absence de circonstances particulières touchant au respect des droits garantis par la Convention ou ses Protocoles, la Cour considère qu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il ne se justifie plus de poursuivre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examen des requêtes, au sens de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 xml:space="preserve">article 37 § 1 </w:t>
      </w:r>
      <w:r w:rsidRPr="007926E9">
        <w:rPr>
          <w:i/>
          <w:lang w:val="fr-FR"/>
        </w:rPr>
        <w:t>in fine</w:t>
      </w:r>
      <w:r w:rsidRPr="007926E9">
        <w:rPr>
          <w:lang w:val="fr-FR"/>
        </w:rPr>
        <w:t xml:space="preserve"> de la Convention.</w:t>
      </w:r>
    </w:p>
    <w:p w:rsidR="00F557D5" w:rsidRPr="007926E9" w:rsidRDefault="00F557D5" w:rsidP="007926E9">
      <w:pPr>
        <w:pStyle w:val="ECHRPara"/>
        <w:rPr>
          <w:lang w:val="fr-FR"/>
        </w:rPr>
      </w:pPr>
      <w:r w:rsidRPr="007926E9">
        <w:rPr>
          <w:lang w:val="fr-FR"/>
        </w:rPr>
        <w:t>Il y a donc lieu de rayer les affaires du rôle.</w:t>
      </w:r>
    </w:p>
    <w:p w:rsidR="00F557D5" w:rsidRPr="007926E9" w:rsidRDefault="00F557D5" w:rsidP="007926E9">
      <w:pPr>
        <w:pStyle w:val="JuParaLast"/>
        <w:keepNext w:val="0"/>
        <w:keepLines w:val="0"/>
        <w:rPr>
          <w:i/>
          <w:lang w:val="fr-FR"/>
        </w:rPr>
      </w:pPr>
      <w:r w:rsidRPr="007926E9">
        <w:rPr>
          <w:lang w:val="fr-FR"/>
        </w:rPr>
        <w:t>Par ces motifs, la Cour,</w:t>
      </w:r>
      <w:r w:rsidRPr="007926E9">
        <w:rPr>
          <w:color w:val="000000"/>
          <w:lang w:val="fr-FR"/>
        </w:rPr>
        <w:t xml:space="preserve"> </w:t>
      </w:r>
      <w:r w:rsidRPr="007926E9">
        <w:rPr>
          <w:lang w:val="fr-FR"/>
        </w:rPr>
        <w:t>à l</w:t>
      </w:r>
      <w:r w:rsidR="007926E9" w:rsidRPr="007926E9">
        <w:rPr>
          <w:lang w:val="fr-FR"/>
        </w:rPr>
        <w:t>’</w:t>
      </w:r>
      <w:r w:rsidRPr="007926E9">
        <w:rPr>
          <w:lang w:val="fr-FR"/>
        </w:rPr>
        <w:t>unanimité ;</w:t>
      </w:r>
    </w:p>
    <w:p w:rsidR="00F557D5" w:rsidRPr="007926E9" w:rsidRDefault="00F557D5" w:rsidP="007926E9">
      <w:pPr>
        <w:pStyle w:val="DecList"/>
        <w:rPr>
          <w:i/>
          <w:lang w:val="fr-FR"/>
        </w:rPr>
      </w:pPr>
      <w:r w:rsidRPr="007926E9">
        <w:rPr>
          <w:i/>
          <w:lang w:val="fr-FR"/>
        </w:rPr>
        <w:t>Décide</w:t>
      </w:r>
      <w:r w:rsidRPr="007926E9">
        <w:rPr>
          <w:lang w:val="fr-FR"/>
        </w:rPr>
        <w:t xml:space="preserve"> de joindre les requêtes ;</w:t>
      </w:r>
    </w:p>
    <w:p w:rsidR="00F557D5" w:rsidRPr="007926E9" w:rsidRDefault="00F557D5" w:rsidP="007926E9">
      <w:pPr>
        <w:pStyle w:val="DecList"/>
        <w:rPr>
          <w:lang w:val="fr-FR"/>
        </w:rPr>
      </w:pPr>
      <w:r w:rsidRPr="007926E9">
        <w:rPr>
          <w:i/>
          <w:lang w:val="fr-FR"/>
        </w:rPr>
        <w:t>Décide</w:t>
      </w:r>
      <w:r w:rsidRPr="007926E9">
        <w:rPr>
          <w:lang w:val="fr-FR"/>
        </w:rPr>
        <w:t xml:space="preserve"> de rayer les requêtes du rôle.</w:t>
      </w:r>
    </w:p>
    <w:p w:rsidR="006544C4" w:rsidRPr="007926E9" w:rsidRDefault="006544C4" w:rsidP="007926E9">
      <w:pPr>
        <w:pStyle w:val="ECHRPara"/>
        <w:rPr>
          <w:sz w:val="2"/>
          <w:szCs w:val="2"/>
          <w:lang w:val="fr-FR" w:eastAsia="en-GB"/>
        </w:rPr>
      </w:pPr>
    </w:p>
    <w:p w:rsidR="00050A32" w:rsidRPr="007926E9" w:rsidRDefault="00F40988" w:rsidP="007926E9">
      <w:pPr>
        <w:pStyle w:val="JuParaLast"/>
        <w:rPr>
          <w:lang w:val="fr-FR"/>
        </w:rPr>
      </w:pPr>
      <w:r w:rsidRPr="007926E9">
        <w:rPr>
          <w:szCs w:val="24"/>
          <w:lang w:val="fr-FR"/>
        </w:rPr>
        <w:t xml:space="preserve">Fait en français puis communiqué par écrit le </w:t>
      </w:r>
      <w:r w:rsidR="00F557D5" w:rsidRPr="007926E9">
        <w:rPr>
          <w:szCs w:val="24"/>
          <w:lang w:val="fr-FR"/>
        </w:rPr>
        <w:t>15 juin 2017</w:t>
      </w:r>
      <w:r w:rsidRPr="007926E9">
        <w:rPr>
          <w:lang w:val="fr-FR"/>
        </w:rPr>
        <w:t>.</w:t>
      </w:r>
    </w:p>
    <w:p w:rsidR="0035621E" w:rsidRPr="007926E9" w:rsidRDefault="00F557D5" w:rsidP="007926E9">
      <w:pPr>
        <w:pStyle w:val="JuSigned"/>
        <w:rPr>
          <w:lang w:val="fr-FR"/>
        </w:rPr>
      </w:pPr>
      <w:r w:rsidRPr="007926E9">
        <w:rPr>
          <w:lang w:val="fr-FR"/>
        </w:rPr>
        <w:tab/>
        <w:t xml:space="preserve">Renata </w:t>
      </w:r>
      <w:proofErr w:type="spellStart"/>
      <w:r w:rsidRPr="007926E9">
        <w:rPr>
          <w:lang w:val="fr-FR"/>
        </w:rPr>
        <w:t>Degener</w:t>
      </w:r>
      <w:proofErr w:type="spellEnd"/>
      <w:r w:rsidR="0091478F" w:rsidRPr="007926E9">
        <w:rPr>
          <w:lang w:val="fr-FR"/>
        </w:rPr>
        <w:tab/>
      </w:r>
      <w:r w:rsidRPr="007926E9">
        <w:rPr>
          <w:lang w:val="fr-FR"/>
        </w:rPr>
        <w:t xml:space="preserve">Kristina </w:t>
      </w:r>
      <w:proofErr w:type="spellStart"/>
      <w:r w:rsidRPr="007926E9">
        <w:rPr>
          <w:lang w:val="fr-FR"/>
        </w:rPr>
        <w:t>Pardalos</w:t>
      </w:r>
      <w:proofErr w:type="spellEnd"/>
    </w:p>
    <w:p w:rsidR="0091478F" w:rsidRPr="007926E9" w:rsidRDefault="0035621E" w:rsidP="007926E9">
      <w:pPr>
        <w:pStyle w:val="JuSigned"/>
        <w:contextualSpacing/>
        <w:rPr>
          <w:lang w:val="fr-FR"/>
        </w:rPr>
      </w:pPr>
      <w:r w:rsidRPr="007926E9">
        <w:rPr>
          <w:iCs/>
          <w:lang w:val="fr-FR"/>
        </w:rPr>
        <w:tab/>
      </w:r>
      <w:r w:rsidR="00F557D5" w:rsidRPr="007926E9">
        <w:rPr>
          <w:lang w:val="fr-FR"/>
        </w:rPr>
        <w:t>Greffière adjointe</w:t>
      </w:r>
      <w:r w:rsidR="0091478F" w:rsidRPr="007926E9">
        <w:rPr>
          <w:lang w:val="fr-FR"/>
        </w:rPr>
        <w:tab/>
      </w:r>
      <w:r w:rsidR="00F557D5" w:rsidRPr="007926E9">
        <w:rPr>
          <w:lang w:val="fr-FR"/>
        </w:rPr>
        <w:t>Présidente</w:t>
      </w:r>
    </w:p>
    <w:p w:rsidR="00F557D5" w:rsidRPr="007926E9" w:rsidRDefault="00F557D5" w:rsidP="007926E9">
      <w:pPr>
        <w:rPr>
          <w:lang w:val="fr-FR"/>
        </w:rPr>
      </w:pPr>
      <w:r w:rsidRPr="007926E9">
        <w:rPr>
          <w:lang w:val="fr-FR"/>
        </w:rPr>
        <w:br w:type="page"/>
      </w:r>
    </w:p>
    <w:p w:rsidR="004D15F3" w:rsidRPr="007926E9" w:rsidRDefault="00F557D5" w:rsidP="007926E9">
      <w:pPr>
        <w:pStyle w:val="JuTitle"/>
        <w:rPr>
          <w:lang w:val="fr-FR"/>
        </w:rPr>
      </w:pPr>
      <w:r w:rsidRPr="007926E9">
        <w:rPr>
          <w:lang w:val="fr-FR"/>
        </w:rPr>
        <w:lastRenderedPageBreak/>
        <w:t>ANNEXE</w:t>
      </w:r>
    </w:p>
    <w:tbl>
      <w:tblPr>
        <w:tblStyle w:val="ECHRListTable"/>
        <w:tblW w:w="7812" w:type="dxa"/>
        <w:jc w:val="center"/>
        <w:tblLook w:val="05E0" w:firstRow="1" w:lastRow="1" w:firstColumn="1" w:lastColumn="1" w:noHBand="0" w:noVBand="1"/>
      </w:tblPr>
      <w:tblGrid>
        <w:gridCol w:w="619"/>
        <w:gridCol w:w="1415"/>
        <w:gridCol w:w="1569"/>
        <w:gridCol w:w="2330"/>
        <w:gridCol w:w="1879"/>
      </w:tblGrid>
      <w:tr w:rsidR="00F557D5" w:rsidRPr="007926E9" w:rsidTr="00FE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19" w:type="dxa"/>
          </w:tcPr>
          <w:p w:rsidR="00F557D5" w:rsidRPr="007926E9" w:rsidRDefault="00F557D5" w:rsidP="007926E9">
            <w:pPr>
              <w:jc w:val="left"/>
            </w:pPr>
            <w:bookmarkStart w:id="1" w:name="TableStart"/>
            <w:bookmarkEnd w:id="1"/>
            <w:r w:rsidRPr="007926E9">
              <w:t>N</w:t>
            </w:r>
            <w:r w:rsidRPr="007926E9">
              <w:rPr>
                <w:vertAlign w:val="superscript"/>
              </w:rPr>
              <w:t>o</w:t>
            </w:r>
          </w:p>
        </w:tc>
        <w:tc>
          <w:tcPr>
            <w:tcW w:w="1415" w:type="dxa"/>
          </w:tcPr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Requête</w:t>
            </w:r>
            <w:proofErr w:type="spellEnd"/>
            <w:r w:rsidRPr="007926E9">
              <w:t xml:space="preserve"> N</w:t>
            </w:r>
            <w:r w:rsidRPr="007926E9">
              <w:rPr>
                <w:vertAlign w:val="superscript"/>
              </w:rPr>
              <w:t>o</w:t>
            </w:r>
          </w:p>
        </w:tc>
        <w:tc>
          <w:tcPr>
            <w:tcW w:w="1569" w:type="dxa"/>
          </w:tcPr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Introduite</w:t>
            </w:r>
            <w:proofErr w:type="spellEnd"/>
            <w:r w:rsidRPr="007926E9">
              <w:t xml:space="preserve"> le</w:t>
            </w:r>
          </w:p>
        </w:tc>
        <w:tc>
          <w:tcPr>
            <w:tcW w:w="2330" w:type="dxa"/>
          </w:tcPr>
          <w:p w:rsidR="00F557D5" w:rsidRPr="007926E9" w:rsidRDefault="00F557D5" w:rsidP="007926E9">
            <w:pPr>
              <w:jc w:val="left"/>
              <w:rPr>
                <w:lang w:val="fr-FR"/>
              </w:rPr>
            </w:pPr>
            <w:r w:rsidRPr="007926E9">
              <w:rPr>
                <w:lang w:val="fr-FR"/>
              </w:rPr>
              <w:t>Requérant</w:t>
            </w:r>
          </w:p>
          <w:p w:rsidR="00F557D5" w:rsidRPr="007926E9" w:rsidRDefault="00F557D5" w:rsidP="007926E9">
            <w:pPr>
              <w:jc w:val="left"/>
              <w:rPr>
                <w:lang w:val="fr-FR"/>
              </w:rPr>
            </w:pPr>
            <w:r w:rsidRPr="007926E9">
              <w:rPr>
                <w:lang w:val="fr-FR"/>
              </w:rPr>
              <w:t>Date de naissance</w:t>
            </w:r>
          </w:p>
          <w:p w:rsidR="00F557D5" w:rsidRPr="007926E9" w:rsidRDefault="00F557D5" w:rsidP="007926E9">
            <w:pPr>
              <w:jc w:val="left"/>
              <w:rPr>
                <w:lang w:val="fr-FR"/>
              </w:rPr>
            </w:pPr>
            <w:r w:rsidRPr="007926E9">
              <w:rPr>
                <w:lang w:val="fr-FR"/>
              </w:rPr>
              <w:t>Lieu de résidence</w:t>
            </w:r>
          </w:p>
        </w:tc>
        <w:tc>
          <w:tcPr>
            <w:tcW w:w="1879" w:type="dxa"/>
          </w:tcPr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Représenté</w:t>
            </w:r>
            <w:proofErr w:type="spellEnd"/>
            <w:r w:rsidRPr="007926E9">
              <w:t xml:space="preserve"> par</w:t>
            </w:r>
          </w:p>
        </w:tc>
      </w:tr>
      <w:tr w:rsidR="00F557D5" w:rsidRPr="007926E9" w:rsidTr="00FE71D4">
        <w:trPr>
          <w:jc w:val="center"/>
        </w:trPr>
        <w:tc>
          <w:tcPr>
            <w:tcW w:w="619" w:type="dxa"/>
          </w:tcPr>
          <w:p w:rsidR="00F557D5" w:rsidRPr="007926E9" w:rsidRDefault="00F557D5" w:rsidP="007926E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5" w:type="dxa"/>
          </w:tcPr>
          <w:p w:rsidR="00F557D5" w:rsidRPr="007926E9" w:rsidRDefault="00F557D5" w:rsidP="007926E9">
            <w:pPr>
              <w:jc w:val="left"/>
            </w:pPr>
            <w:r w:rsidRPr="007926E9">
              <w:t>29329/07</w:t>
            </w:r>
          </w:p>
        </w:tc>
        <w:tc>
          <w:tcPr>
            <w:tcW w:w="1569" w:type="dxa"/>
          </w:tcPr>
          <w:p w:rsidR="00F557D5" w:rsidRPr="007926E9" w:rsidRDefault="00F557D5" w:rsidP="007926E9">
            <w:pPr>
              <w:jc w:val="left"/>
            </w:pPr>
            <w:r w:rsidRPr="007926E9">
              <w:t>30/06/2007</w:t>
            </w:r>
          </w:p>
        </w:tc>
        <w:tc>
          <w:tcPr>
            <w:tcW w:w="2330" w:type="dxa"/>
          </w:tcPr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>Adriana DE ANTONIIS</w:t>
            </w:r>
          </w:p>
          <w:p w:rsidR="00F557D5" w:rsidRPr="007926E9" w:rsidRDefault="00F557D5" w:rsidP="007926E9">
            <w:pPr>
              <w:jc w:val="left"/>
            </w:pPr>
            <w:r w:rsidRPr="007926E9">
              <w:t>08/04/1938</w:t>
            </w:r>
          </w:p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Ferentino</w:t>
            </w:r>
            <w:proofErr w:type="spellEnd"/>
          </w:p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 xml:space="preserve">Maria </w:t>
            </w:r>
            <w:proofErr w:type="spellStart"/>
            <w:r w:rsidRPr="007926E9">
              <w:rPr>
                <w:b/>
              </w:rPr>
              <w:t>Giuseppa</w:t>
            </w:r>
            <w:proofErr w:type="spellEnd"/>
            <w:r w:rsidRPr="007926E9">
              <w:rPr>
                <w:b/>
              </w:rPr>
              <w:t xml:space="preserve"> </w:t>
            </w:r>
            <w:proofErr w:type="spellStart"/>
            <w:r w:rsidRPr="007926E9">
              <w:rPr>
                <w:b/>
              </w:rPr>
              <w:t>Mafferri</w:t>
            </w:r>
            <w:proofErr w:type="spellEnd"/>
          </w:p>
          <w:p w:rsidR="00F557D5" w:rsidRPr="007926E9" w:rsidRDefault="00F557D5" w:rsidP="007926E9">
            <w:pPr>
              <w:jc w:val="left"/>
            </w:pPr>
            <w:r w:rsidRPr="007926E9">
              <w:t>30/07/1932</w:t>
            </w:r>
          </w:p>
          <w:p w:rsidR="00F557D5" w:rsidRPr="007926E9" w:rsidRDefault="00F557D5" w:rsidP="007926E9">
            <w:pPr>
              <w:jc w:val="left"/>
            </w:pPr>
            <w:r w:rsidRPr="007926E9">
              <w:t>Frosinone</w:t>
            </w:r>
          </w:p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 xml:space="preserve">Anna </w:t>
            </w:r>
            <w:proofErr w:type="spellStart"/>
            <w:r w:rsidRPr="007926E9">
              <w:rPr>
                <w:b/>
              </w:rPr>
              <w:t>Bonacquisti</w:t>
            </w:r>
            <w:proofErr w:type="spellEnd"/>
          </w:p>
          <w:p w:rsidR="00F557D5" w:rsidRPr="007926E9" w:rsidRDefault="00F557D5" w:rsidP="007926E9">
            <w:pPr>
              <w:jc w:val="left"/>
            </w:pPr>
            <w:r w:rsidRPr="007926E9">
              <w:t>10/04/1945</w:t>
            </w:r>
          </w:p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Ferentino</w:t>
            </w:r>
            <w:proofErr w:type="spellEnd"/>
          </w:p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 xml:space="preserve">Maria </w:t>
            </w:r>
            <w:proofErr w:type="spellStart"/>
            <w:r w:rsidRPr="007926E9">
              <w:rPr>
                <w:b/>
              </w:rPr>
              <w:t>Zangrilli</w:t>
            </w:r>
            <w:proofErr w:type="spellEnd"/>
          </w:p>
          <w:p w:rsidR="00F557D5" w:rsidRPr="007926E9" w:rsidRDefault="00F557D5" w:rsidP="007926E9">
            <w:pPr>
              <w:jc w:val="left"/>
            </w:pPr>
            <w:r w:rsidRPr="007926E9">
              <w:t>19/03/1930</w:t>
            </w:r>
          </w:p>
          <w:p w:rsidR="00F557D5" w:rsidRPr="007926E9" w:rsidRDefault="00F557D5" w:rsidP="007926E9">
            <w:pPr>
              <w:jc w:val="left"/>
            </w:pPr>
            <w:r w:rsidRPr="007926E9">
              <w:t>Frosinone</w:t>
            </w:r>
          </w:p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>Maria Bianchi</w:t>
            </w:r>
          </w:p>
          <w:p w:rsidR="00F557D5" w:rsidRPr="007926E9" w:rsidRDefault="00F557D5" w:rsidP="007926E9">
            <w:pPr>
              <w:jc w:val="left"/>
            </w:pPr>
            <w:r w:rsidRPr="007926E9">
              <w:t>16/11/1925</w:t>
            </w:r>
          </w:p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Ferentino</w:t>
            </w:r>
            <w:proofErr w:type="spellEnd"/>
          </w:p>
          <w:p w:rsidR="00F557D5" w:rsidRPr="007926E9" w:rsidRDefault="00F557D5" w:rsidP="007926E9">
            <w:pPr>
              <w:jc w:val="left"/>
              <w:rPr>
                <w:b/>
              </w:rPr>
            </w:pPr>
            <w:proofErr w:type="spellStart"/>
            <w:r w:rsidRPr="007926E9">
              <w:rPr>
                <w:b/>
              </w:rPr>
              <w:t>Giuseppa</w:t>
            </w:r>
            <w:proofErr w:type="spellEnd"/>
            <w:r w:rsidRPr="007926E9">
              <w:rPr>
                <w:b/>
              </w:rPr>
              <w:t xml:space="preserve"> </w:t>
            </w:r>
            <w:proofErr w:type="spellStart"/>
            <w:r w:rsidRPr="007926E9">
              <w:rPr>
                <w:b/>
              </w:rPr>
              <w:t>Scapellato</w:t>
            </w:r>
            <w:proofErr w:type="spellEnd"/>
          </w:p>
          <w:p w:rsidR="00F557D5" w:rsidRPr="007926E9" w:rsidRDefault="00F557D5" w:rsidP="007926E9">
            <w:pPr>
              <w:jc w:val="left"/>
            </w:pPr>
            <w:r w:rsidRPr="007926E9">
              <w:t>15/09/1926</w:t>
            </w:r>
          </w:p>
          <w:p w:rsidR="00F557D5" w:rsidRPr="007926E9" w:rsidRDefault="00F557D5" w:rsidP="007926E9">
            <w:pPr>
              <w:jc w:val="left"/>
            </w:pPr>
            <w:r w:rsidRPr="007926E9">
              <w:t>Rome</w:t>
            </w:r>
          </w:p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 xml:space="preserve">Antonina </w:t>
            </w:r>
            <w:proofErr w:type="spellStart"/>
            <w:r w:rsidRPr="007926E9">
              <w:rPr>
                <w:b/>
              </w:rPr>
              <w:t>Fundaro</w:t>
            </w:r>
            <w:proofErr w:type="spellEnd"/>
            <w:r w:rsidR="007926E9" w:rsidRPr="007926E9">
              <w:rPr>
                <w:b/>
              </w:rPr>
              <w:t>’</w:t>
            </w:r>
          </w:p>
          <w:p w:rsidR="00F557D5" w:rsidRPr="007926E9" w:rsidRDefault="00F557D5" w:rsidP="007926E9">
            <w:pPr>
              <w:jc w:val="left"/>
            </w:pPr>
            <w:r w:rsidRPr="007926E9">
              <w:t>13/10/1944</w:t>
            </w:r>
          </w:p>
          <w:p w:rsidR="00F557D5" w:rsidRPr="007926E9" w:rsidRDefault="00F557D5" w:rsidP="007926E9">
            <w:pPr>
              <w:jc w:val="left"/>
            </w:pPr>
            <w:r w:rsidRPr="007926E9">
              <w:t>Rome</w:t>
            </w:r>
          </w:p>
          <w:p w:rsidR="00F557D5" w:rsidRPr="007926E9" w:rsidRDefault="00F557D5" w:rsidP="007926E9">
            <w:pPr>
              <w:jc w:val="left"/>
              <w:rPr>
                <w:b/>
              </w:rPr>
            </w:pPr>
            <w:proofErr w:type="spellStart"/>
            <w:r w:rsidRPr="007926E9">
              <w:rPr>
                <w:b/>
              </w:rPr>
              <w:t>Giuseppina</w:t>
            </w:r>
            <w:proofErr w:type="spellEnd"/>
            <w:r w:rsidRPr="007926E9">
              <w:rPr>
                <w:b/>
              </w:rPr>
              <w:t xml:space="preserve"> de </w:t>
            </w:r>
            <w:proofErr w:type="spellStart"/>
            <w:r w:rsidRPr="007926E9">
              <w:rPr>
                <w:b/>
              </w:rPr>
              <w:t>Benedictis</w:t>
            </w:r>
            <w:proofErr w:type="spellEnd"/>
          </w:p>
          <w:p w:rsidR="00F557D5" w:rsidRPr="007926E9" w:rsidRDefault="00F557D5" w:rsidP="007926E9">
            <w:pPr>
              <w:jc w:val="left"/>
            </w:pPr>
            <w:r w:rsidRPr="007926E9">
              <w:t>22/12/1936</w:t>
            </w:r>
          </w:p>
          <w:p w:rsidR="00F557D5" w:rsidRPr="007926E9" w:rsidRDefault="00F557D5" w:rsidP="007926E9">
            <w:pPr>
              <w:jc w:val="left"/>
            </w:pPr>
            <w:r w:rsidRPr="007926E9">
              <w:t>Rome</w:t>
            </w:r>
          </w:p>
        </w:tc>
        <w:tc>
          <w:tcPr>
            <w:tcW w:w="1879" w:type="dxa"/>
          </w:tcPr>
          <w:p w:rsidR="00F557D5" w:rsidRPr="007926E9" w:rsidRDefault="00F557D5" w:rsidP="007926E9">
            <w:pPr>
              <w:jc w:val="left"/>
            </w:pPr>
            <w:r w:rsidRPr="007926E9">
              <w:t>Fabio PISANI</w:t>
            </w:r>
          </w:p>
        </w:tc>
      </w:tr>
      <w:tr w:rsidR="00F557D5" w:rsidRPr="007926E9" w:rsidTr="00FE71D4">
        <w:trPr>
          <w:jc w:val="center"/>
        </w:trPr>
        <w:tc>
          <w:tcPr>
            <w:tcW w:w="619" w:type="dxa"/>
          </w:tcPr>
          <w:p w:rsidR="00F557D5" w:rsidRPr="007926E9" w:rsidRDefault="00F557D5" w:rsidP="007926E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5" w:type="dxa"/>
          </w:tcPr>
          <w:p w:rsidR="00F557D5" w:rsidRPr="007926E9" w:rsidRDefault="00F557D5" w:rsidP="007926E9">
            <w:pPr>
              <w:jc w:val="left"/>
            </w:pPr>
            <w:r w:rsidRPr="007926E9">
              <w:t>28805/09</w:t>
            </w:r>
          </w:p>
        </w:tc>
        <w:tc>
          <w:tcPr>
            <w:tcW w:w="1569" w:type="dxa"/>
          </w:tcPr>
          <w:p w:rsidR="00F557D5" w:rsidRPr="007926E9" w:rsidRDefault="00F557D5" w:rsidP="007926E9">
            <w:pPr>
              <w:jc w:val="left"/>
            </w:pPr>
            <w:r w:rsidRPr="007926E9">
              <w:t>14/05/2009</w:t>
            </w:r>
          </w:p>
        </w:tc>
        <w:tc>
          <w:tcPr>
            <w:tcW w:w="2330" w:type="dxa"/>
          </w:tcPr>
          <w:p w:rsidR="00F557D5" w:rsidRPr="007926E9" w:rsidRDefault="00F557D5" w:rsidP="007926E9">
            <w:pPr>
              <w:jc w:val="left"/>
              <w:rPr>
                <w:b/>
              </w:rPr>
            </w:pPr>
            <w:proofErr w:type="spellStart"/>
            <w:r w:rsidRPr="007926E9">
              <w:rPr>
                <w:b/>
              </w:rPr>
              <w:t>Michelina</w:t>
            </w:r>
            <w:proofErr w:type="spellEnd"/>
            <w:r w:rsidRPr="007926E9">
              <w:rPr>
                <w:b/>
              </w:rPr>
              <w:t xml:space="preserve"> CORBO</w:t>
            </w:r>
          </w:p>
          <w:p w:rsidR="00F557D5" w:rsidRPr="007926E9" w:rsidRDefault="00F557D5" w:rsidP="007926E9">
            <w:pPr>
              <w:jc w:val="left"/>
            </w:pPr>
            <w:r w:rsidRPr="007926E9">
              <w:t>08/05/1930</w:t>
            </w:r>
          </w:p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Bénévent</w:t>
            </w:r>
            <w:proofErr w:type="spellEnd"/>
          </w:p>
        </w:tc>
        <w:tc>
          <w:tcPr>
            <w:tcW w:w="1879" w:type="dxa"/>
          </w:tcPr>
          <w:p w:rsidR="00F557D5" w:rsidRPr="007926E9" w:rsidRDefault="00F557D5" w:rsidP="007926E9">
            <w:pPr>
              <w:jc w:val="left"/>
            </w:pPr>
            <w:r w:rsidRPr="007926E9">
              <w:t>Maurizio BALLETTA</w:t>
            </w:r>
          </w:p>
        </w:tc>
      </w:tr>
      <w:tr w:rsidR="00F557D5" w:rsidRPr="007926E9" w:rsidTr="00FE71D4">
        <w:trPr>
          <w:jc w:val="center"/>
        </w:trPr>
        <w:tc>
          <w:tcPr>
            <w:tcW w:w="619" w:type="dxa"/>
          </w:tcPr>
          <w:p w:rsidR="00F557D5" w:rsidRPr="007926E9" w:rsidRDefault="00F557D5" w:rsidP="007926E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5" w:type="dxa"/>
          </w:tcPr>
          <w:p w:rsidR="00F557D5" w:rsidRPr="007926E9" w:rsidRDefault="00F557D5" w:rsidP="007926E9">
            <w:pPr>
              <w:jc w:val="left"/>
            </w:pPr>
            <w:r w:rsidRPr="007926E9">
              <w:t>80128/12</w:t>
            </w:r>
          </w:p>
        </w:tc>
        <w:tc>
          <w:tcPr>
            <w:tcW w:w="1569" w:type="dxa"/>
          </w:tcPr>
          <w:p w:rsidR="00F557D5" w:rsidRPr="007926E9" w:rsidRDefault="00F557D5" w:rsidP="007926E9">
            <w:pPr>
              <w:jc w:val="left"/>
            </w:pPr>
            <w:r w:rsidRPr="007926E9">
              <w:t>07/12/2012</w:t>
            </w:r>
          </w:p>
        </w:tc>
        <w:tc>
          <w:tcPr>
            <w:tcW w:w="2330" w:type="dxa"/>
          </w:tcPr>
          <w:p w:rsidR="00F557D5" w:rsidRPr="007926E9" w:rsidRDefault="00F557D5" w:rsidP="007926E9">
            <w:pPr>
              <w:jc w:val="left"/>
              <w:rPr>
                <w:b/>
              </w:rPr>
            </w:pPr>
            <w:r w:rsidRPr="007926E9">
              <w:rPr>
                <w:b/>
              </w:rPr>
              <w:t>Sergio RUBINO</w:t>
            </w:r>
          </w:p>
          <w:p w:rsidR="00F557D5" w:rsidRPr="007926E9" w:rsidRDefault="00F557D5" w:rsidP="007926E9">
            <w:pPr>
              <w:jc w:val="left"/>
            </w:pPr>
            <w:r w:rsidRPr="007926E9">
              <w:t>11/06/1941</w:t>
            </w:r>
          </w:p>
          <w:p w:rsidR="00F557D5" w:rsidRPr="007926E9" w:rsidRDefault="00F557D5" w:rsidP="007926E9">
            <w:pPr>
              <w:jc w:val="left"/>
            </w:pPr>
            <w:proofErr w:type="spellStart"/>
            <w:r w:rsidRPr="007926E9">
              <w:t>Caserte</w:t>
            </w:r>
            <w:proofErr w:type="spellEnd"/>
          </w:p>
        </w:tc>
        <w:tc>
          <w:tcPr>
            <w:tcW w:w="1879" w:type="dxa"/>
          </w:tcPr>
          <w:p w:rsidR="00F557D5" w:rsidRPr="007926E9" w:rsidRDefault="00F557D5" w:rsidP="007926E9">
            <w:pPr>
              <w:jc w:val="left"/>
            </w:pPr>
            <w:r w:rsidRPr="007926E9">
              <w:t>Armida CUDILLO</w:t>
            </w:r>
            <w:bookmarkStart w:id="2" w:name="TableEnd"/>
            <w:bookmarkEnd w:id="2"/>
          </w:p>
        </w:tc>
      </w:tr>
    </w:tbl>
    <w:p w:rsidR="00234E8A" w:rsidRPr="007926E9" w:rsidRDefault="00234E8A" w:rsidP="007926E9">
      <w:pPr>
        <w:rPr>
          <w:lang w:val="fr-FR"/>
        </w:rPr>
      </w:pPr>
    </w:p>
    <w:sectPr w:rsidR="00234E8A" w:rsidRPr="007926E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17" w:rsidRPr="007A6280" w:rsidRDefault="00957A17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957A17" w:rsidRPr="007A6280" w:rsidRDefault="00957A1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D5" w:rsidRPr="00150BFA" w:rsidRDefault="00F557D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8511453" wp14:editId="498580B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57A17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17" w:rsidRPr="007A6280" w:rsidRDefault="00957A17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957A17" w:rsidRPr="007A6280" w:rsidRDefault="00957A1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557D5" w:rsidRDefault="00F557D5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F557D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A22CC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F557D5">
      <w:rPr>
        <w:lang w:val="fr-FR"/>
      </w:rPr>
      <w:tab/>
      <w:t xml:space="preserve">DÉCISION </w:t>
    </w:r>
    <w:r w:rsidRPr="00F557D5">
      <w:rPr>
        <w:lang w:val="fr-FR"/>
      </w:rPr>
      <w:t>DE ANTONIIS ET AUTRES c. ITALIE</w:t>
    </w:r>
    <w:r w:rsidRPr="00F557D5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557D5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F557D5">
      <w:rPr>
        <w:lang w:val="fr-FR"/>
      </w:rPr>
      <w:t xml:space="preserve">DÉCISION </w:t>
    </w:r>
    <w:r w:rsidR="00F557D5" w:rsidRPr="00F557D5">
      <w:rPr>
        <w:lang w:val="fr-FR"/>
      </w:rPr>
      <w:t>DE ANTONIIS ET AUTRES c. ITALIE</w:t>
    </w:r>
    <w:r w:rsidR="00F557D5" w:rsidRPr="00F557D5">
      <w:rPr>
        <w:noProof/>
        <w:lang w:val="fr-FR"/>
      </w:rPr>
      <w:t xml:space="preserve"> ET AUTRES REQUÊTES</w:t>
    </w:r>
    <w:r w:rsidRPr="00F557D5">
      <w:rPr>
        <w:lang w:val="fr-FR"/>
      </w:rPr>
      <w:tab/>
    </w:r>
    <w:r w:rsidR="00F557D5">
      <w:rPr>
        <w:rStyle w:val="Numeropagina"/>
        <w:lang w:val="en-GB"/>
      </w:rPr>
      <w:fldChar w:fldCharType="begin"/>
    </w:r>
    <w:r w:rsidR="00F557D5" w:rsidRPr="00F557D5">
      <w:rPr>
        <w:rStyle w:val="Numeropagina"/>
        <w:lang w:val="fr-FR"/>
      </w:rPr>
      <w:instrText xml:space="preserve"> PAGE </w:instrText>
    </w:r>
    <w:r w:rsidR="00F557D5">
      <w:rPr>
        <w:rStyle w:val="Numeropagina"/>
        <w:lang w:val="en-GB"/>
      </w:rPr>
      <w:fldChar w:fldCharType="separate"/>
    </w:r>
    <w:r w:rsidR="007A22CC">
      <w:rPr>
        <w:rStyle w:val="Numeropagina"/>
        <w:noProof/>
        <w:lang w:val="fr-FR"/>
      </w:rPr>
      <w:t>3</w:t>
    </w:r>
    <w:r w:rsidR="00F557D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D5" w:rsidRPr="00A45145" w:rsidRDefault="00F557D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9F0A56B" wp14:editId="0006EED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57A17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BD97FA9"/>
    <w:multiLevelType w:val="hybridMultilevel"/>
    <w:tmpl w:val="776A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6"/>
  </w:num>
  <w:num w:numId="27">
    <w:abstractNumId w:val="15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F557D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397B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26E9"/>
    <w:rsid w:val="00793366"/>
    <w:rsid w:val="007A22CC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7A17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E7702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57D5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557D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557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557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557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557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557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557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557D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557D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557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55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7D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557D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557D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F557D5"/>
    <w:rPr>
      <w:color w:val="00B050"/>
    </w:rPr>
  </w:style>
  <w:style w:type="character" w:styleId="Enfasigrassetto">
    <w:name w:val="Strong"/>
    <w:uiPriority w:val="99"/>
    <w:semiHidden/>
    <w:qFormat/>
    <w:rsid w:val="00F557D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557D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557D5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F557D5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F557D5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F557D5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F557D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F557D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F557D5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557D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557D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F557D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557D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F557D5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557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557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F557D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F557D5"/>
    <w:pPr>
      <w:ind w:left="794"/>
    </w:pPr>
  </w:style>
  <w:style w:type="character" w:customStyle="1" w:styleId="JUNAMES">
    <w:name w:val="JU_NAMES"/>
    <w:uiPriority w:val="17"/>
    <w:qFormat/>
    <w:rsid w:val="00F557D5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F557D5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F557D5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557D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557D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557D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557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557D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557D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557D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557D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557D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557D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557D5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557D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557D5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557D5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557D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557D5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557D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F557D5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F557D5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F557D5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F557D5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F557D5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F557D5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557D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557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557D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557D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557D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557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7D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557D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557D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557D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557D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557D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557D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557D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557D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557D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557D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557D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557D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557D5"/>
    <w:rPr>
      <w:smallCaps/>
    </w:rPr>
  </w:style>
  <w:style w:type="table" w:styleId="Grigliatabella">
    <w:name w:val="Table Grid"/>
    <w:basedOn w:val="Tabellanormale"/>
    <w:uiPriority w:val="59"/>
    <w:semiHidden/>
    <w:rsid w:val="00F557D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557D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557D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557D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557D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557D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557D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557D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F557D5"/>
  </w:style>
  <w:style w:type="paragraph" w:customStyle="1" w:styleId="OpiQuot">
    <w:name w:val="Opi_Quot"/>
    <w:basedOn w:val="ECHRParaQuote"/>
    <w:uiPriority w:val="48"/>
    <w:semiHidden/>
    <w:qFormat/>
    <w:rsid w:val="00F557D5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557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557D5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557D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557D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557D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557D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557D5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557D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557D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557D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F557D5"/>
  </w:style>
  <w:style w:type="paragraph" w:customStyle="1" w:styleId="ECHRFooter">
    <w:name w:val="ECHR_Footer"/>
    <w:aliases w:val="Footer_ECHR"/>
    <w:basedOn w:val="Pidipagina"/>
    <w:uiPriority w:val="57"/>
    <w:semiHidden/>
    <w:rsid w:val="00F557D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557D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F557D5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B440-2781-4868-93A6-71704B6B5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E0D8E-99ED-494B-8A79-640C4895F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E4B58-0DAD-4326-BC84-1E4304EE4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5316F-142E-4284-B21A-D814F3E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2017-07-10T14:47:00Z</dcterms:created>
  <dcterms:modified xsi:type="dcterms:W3CDTF">2017-07-10T14:47:00Z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29329/07</vt:lpwstr>
  </property>
  <property fmtid="{D5CDD505-2E9C-101B-9397-08002B2CF9AE}" pid="4" name="CASEID">
    <vt:lpwstr>456829</vt:lpwstr>
  </property>
  <property fmtid="{D5CDD505-2E9C-101B-9397-08002B2CF9AE}" pid="5" name="ContentTypeId">
    <vt:lpwstr>0x010100558EB02BDB9E204AB350EDD385B68E10</vt:lpwstr>
  </property>
</Properties>
</file>